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CB" w:rsidRDefault="00C33BAA">
      <w:pPr>
        <w:pStyle w:val="Heading10"/>
        <w:keepNext/>
        <w:keepLines/>
        <w:shd w:val="clear" w:color="auto" w:fill="auto"/>
        <w:spacing w:after="354"/>
        <w:ind w:right="360"/>
      </w:pPr>
      <w:bookmarkStart w:id="0" w:name="bookmark0"/>
      <w:bookmarkStart w:id="1" w:name="_GoBack"/>
      <w:bookmarkEnd w:id="1"/>
      <w:r>
        <w:t>Конвенція 2006 року про основи,</w:t>
      </w:r>
      <w:r>
        <w:br/>
        <w:t>що сприяють безпеці та здоров’ю на роботі (№ 187)</w:t>
      </w:r>
      <w:r>
        <w:rPr>
          <w:vertAlign w:val="superscript"/>
        </w:rPr>
        <w:footnoteReference w:id="1"/>
      </w:r>
      <w:bookmarkEnd w:id="0"/>
    </w:p>
    <w:p w:rsidR="008B3CCB" w:rsidRDefault="00C33BAA">
      <w:pPr>
        <w:pStyle w:val="Bodytext20"/>
        <w:shd w:val="clear" w:color="auto" w:fill="auto"/>
        <w:spacing w:before="0" w:after="99" w:line="220" w:lineRule="exact"/>
        <w:ind w:left="400"/>
      </w:pPr>
      <w:r>
        <w:t>Генеральна конференція Міжнародної організації праці,</w:t>
      </w:r>
    </w:p>
    <w:p w:rsidR="008B3CCB" w:rsidRDefault="00C33BAA">
      <w:pPr>
        <w:pStyle w:val="Bodytext20"/>
        <w:shd w:val="clear" w:color="auto" w:fill="auto"/>
        <w:spacing w:before="0" w:after="56" w:line="250" w:lineRule="exact"/>
        <w:ind w:left="400"/>
      </w:pPr>
      <w:r>
        <w:t xml:space="preserve">що скликана в Женеві Адміністративною радою Міжнародного бюро праці та зібралася 31 травня 2006 року на свою 95-у </w:t>
      </w:r>
      <w:r>
        <w:t>сесію,</w:t>
      </w:r>
    </w:p>
    <w:p w:rsidR="008B3CCB" w:rsidRDefault="00C33BAA">
      <w:pPr>
        <w:pStyle w:val="Bodytext20"/>
        <w:shd w:val="clear" w:color="auto" w:fill="auto"/>
        <w:spacing w:before="0" w:after="60" w:line="254" w:lineRule="exact"/>
        <w:ind w:left="400"/>
      </w:pPr>
      <w:r>
        <w:t>визнаючи глобальні масштаби травматизму на роботі, професійних захворювань і загибелі людей на роботі та необхідність вжиття подальших заходів з метою їхнього зменшення,</w:t>
      </w:r>
    </w:p>
    <w:p w:rsidR="008B3CCB" w:rsidRDefault="00C33BAA">
      <w:pPr>
        <w:pStyle w:val="Bodytext20"/>
        <w:shd w:val="clear" w:color="auto" w:fill="auto"/>
        <w:spacing w:before="0" w:after="60" w:line="254" w:lineRule="exact"/>
        <w:ind w:left="400"/>
      </w:pPr>
      <w:r>
        <w:t xml:space="preserve">нагадуючи, що захист працівників у випадку загальних і професійних захворювань </w:t>
      </w:r>
      <w:r>
        <w:t>і травматизму на роботі є одним із завдань Міжнародної організації праці, передбачених у її Статуті,</w:t>
      </w:r>
    </w:p>
    <w:p w:rsidR="008B3CCB" w:rsidRDefault="00C33BAA">
      <w:pPr>
        <w:pStyle w:val="Bodytext20"/>
        <w:shd w:val="clear" w:color="auto" w:fill="auto"/>
        <w:spacing w:before="0" w:after="60" w:line="254" w:lineRule="exact"/>
        <w:ind w:left="400"/>
      </w:pPr>
      <w:r>
        <w:t>визнаючи, що випадки травматизму на роботі, професійних захворювань і загибелі людей на роботі справляють негативний вплив на продуктивність і на соціально</w:t>
      </w:r>
      <w:r>
        <w:t>-економічний розвиток;</w:t>
      </w:r>
    </w:p>
    <w:p w:rsidR="008B3CCB" w:rsidRDefault="00C33BAA">
      <w:pPr>
        <w:pStyle w:val="Bodytext20"/>
        <w:shd w:val="clear" w:color="auto" w:fill="auto"/>
        <w:spacing w:before="0" w:after="60" w:line="254" w:lineRule="exact"/>
        <w:ind w:left="400"/>
      </w:pPr>
      <w:r>
        <w:t>відзначаючи пункт д) розділу III Філадельфійської декларації, відповідно до якого Міжнародна організація праці взяла на себе урочисте зобов'язання сприяти прийняттю країнами світу програм, що мають на меті забезпечувати необхідний за</w:t>
      </w:r>
      <w:r>
        <w:t>хист життя й здоров'я трудящих усіх професій,</w:t>
      </w:r>
    </w:p>
    <w:p w:rsidR="008B3CCB" w:rsidRDefault="00C33BAA">
      <w:pPr>
        <w:pStyle w:val="Bodytext20"/>
        <w:shd w:val="clear" w:color="auto" w:fill="auto"/>
        <w:spacing w:before="0" w:after="64" w:line="254" w:lineRule="exact"/>
        <w:ind w:left="400"/>
      </w:pPr>
      <w:r>
        <w:t>пам’ятаючи про Декларацію МОП основних принципів і прав у світі праці 1998 року та механізм її реалізації,</w:t>
      </w:r>
    </w:p>
    <w:p w:rsidR="008B3CCB" w:rsidRDefault="00C33BAA">
      <w:pPr>
        <w:pStyle w:val="Bodytext20"/>
        <w:shd w:val="clear" w:color="auto" w:fill="auto"/>
        <w:spacing w:before="0" w:after="56" w:line="250" w:lineRule="exact"/>
        <w:ind w:left="400"/>
      </w:pPr>
      <w:r>
        <w:t xml:space="preserve">відзначаючи Конвенцію 1981 року про безпеку та здоров’я на роботі (№ 155), Рекомендацію 1981 року щодо </w:t>
      </w:r>
      <w:r>
        <w:t>безпеки та здоров’я на роботі (№ 164) та інші акти Міжнародної організації праці, котрі мають відношення до основ, що сприяють безпеці і здоров’ю на роботі,</w:t>
      </w:r>
    </w:p>
    <w:p w:rsidR="008B3CCB" w:rsidRDefault="00C33BAA">
      <w:pPr>
        <w:pStyle w:val="Bodytext20"/>
        <w:shd w:val="clear" w:color="auto" w:fill="auto"/>
        <w:spacing w:before="0" w:after="64" w:line="254" w:lineRule="exact"/>
        <w:ind w:left="400"/>
      </w:pPr>
      <w:r>
        <w:t>нагадуючи, що сприяння безпеці та здоров’ю на роботі є частиною Програми гідної праці для всіх Міжн</w:t>
      </w:r>
      <w:r>
        <w:t>ародної організації праці,</w:t>
      </w:r>
    </w:p>
    <w:p w:rsidR="008B3CCB" w:rsidRDefault="00C33BAA">
      <w:pPr>
        <w:pStyle w:val="Bodytext20"/>
        <w:shd w:val="clear" w:color="auto" w:fill="auto"/>
        <w:spacing w:before="0" w:after="60" w:line="250" w:lineRule="exact"/>
        <w:ind w:left="400"/>
      </w:pPr>
      <w:r>
        <w:t>нагадуючи Висновки про нормотворчу діяльність МОП у галузі безпеки і здоров’я на роботі - глобальну стратегію, прийняту на 91-й сесії Міжнародної конференції праці (2003 р.), зокрема, щодо забезпечення того, щоб у національних пр</w:t>
      </w:r>
      <w:r>
        <w:t>ограмах питанням безпеки і здоров’я на роботі приділялася пріоритетна увага,</w:t>
      </w:r>
    </w:p>
    <w:p w:rsidR="008B3CCB" w:rsidRDefault="00C33BAA">
      <w:pPr>
        <w:pStyle w:val="Bodytext20"/>
        <w:shd w:val="clear" w:color="auto" w:fill="auto"/>
        <w:spacing w:before="0" w:after="56" w:line="250" w:lineRule="exact"/>
        <w:ind w:left="400"/>
      </w:pPr>
      <w:r>
        <w:t>підкреслюючи важливість постійного розвитку національної культури профілактики в галузі безпеки і здоров’я на роботі,</w:t>
      </w:r>
    </w:p>
    <w:p w:rsidR="008B3CCB" w:rsidRDefault="00C33BAA">
      <w:pPr>
        <w:pStyle w:val="Bodytext20"/>
        <w:shd w:val="clear" w:color="auto" w:fill="auto"/>
        <w:spacing w:before="0" w:after="88" w:line="254" w:lineRule="exact"/>
        <w:ind w:left="400"/>
      </w:pPr>
      <w:r>
        <w:t xml:space="preserve">постановивши ухвалити ряд пропозицій щодо безпеки і здоров’я </w:t>
      </w:r>
      <w:r>
        <w:t>на роботі, що є четвертим пунктом порядку денного сесії, та</w:t>
      </w:r>
    </w:p>
    <w:p w:rsidR="008B3CCB" w:rsidRDefault="00C33BAA">
      <w:pPr>
        <w:pStyle w:val="Bodytext20"/>
        <w:shd w:val="clear" w:color="auto" w:fill="auto"/>
        <w:spacing w:before="0" w:after="91" w:line="220" w:lineRule="exact"/>
        <w:ind w:left="400"/>
      </w:pPr>
      <w:r>
        <w:t>вирішивши надати цим пропозиціям форми міжнародної конвенції,</w:t>
      </w:r>
    </w:p>
    <w:p w:rsidR="008B3CCB" w:rsidRDefault="00C33BAA">
      <w:pPr>
        <w:pStyle w:val="Bodytext20"/>
        <w:shd w:val="clear" w:color="auto" w:fill="auto"/>
        <w:spacing w:before="0" w:after="0" w:line="254" w:lineRule="exact"/>
        <w:ind w:left="400"/>
      </w:pPr>
      <w:r>
        <w:t>ухвалює цього п’ятнадцятого дня червня місяця дві тисячі шостого року нижчевикладену конвенцію, яка може називатися Конвенцією 2006 ро</w:t>
      </w:r>
      <w:r>
        <w:t>ку про основи, що сприяють безпеці і здоров’ю на роботі.</w:t>
      </w:r>
    </w:p>
    <w:p w:rsidR="008B3CCB" w:rsidRDefault="00C33B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431"/>
        </w:tabs>
        <w:ind w:left="4480" w:right="3860" w:hanging="280"/>
      </w:pPr>
      <w:bookmarkStart w:id="2" w:name="bookmark1"/>
      <w:r>
        <w:t xml:space="preserve">ВИЗНАЧЕННЯ </w:t>
      </w:r>
      <w:r>
        <w:rPr>
          <w:rStyle w:val="Heading2Italic"/>
          <w:b/>
          <w:bCs/>
        </w:rPr>
        <w:t>Стаття 1</w:t>
      </w:r>
      <w:bookmarkEnd w:id="2"/>
    </w:p>
    <w:p w:rsidR="008B3CCB" w:rsidRDefault="00C33BAA">
      <w:pPr>
        <w:pStyle w:val="Bodytext20"/>
        <w:shd w:val="clear" w:color="auto" w:fill="auto"/>
        <w:spacing w:before="0" w:after="99" w:line="220" w:lineRule="exact"/>
        <w:ind w:left="380"/>
      </w:pPr>
      <w:r>
        <w:t>Відповідно до цілей цієї Конвенції:</w:t>
      </w:r>
    </w:p>
    <w:p w:rsidR="008B3CCB" w:rsidRDefault="00C33BAA">
      <w:pPr>
        <w:pStyle w:val="Bodytext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60" w:line="250" w:lineRule="exact"/>
        <w:ind w:left="380"/>
      </w:pPr>
      <w:r>
        <w:t xml:space="preserve">термін </w:t>
      </w:r>
      <w:r>
        <w:rPr>
          <w:rStyle w:val="Bodytext2BoldItalic"/>
        </w:rPr>
        <w:t>національна політика</w:t>
      </w:r>
      <w:r>
        <w:t xml:space="preserve"> означає національну політику в галузі безпеки здоров’я на роботі та робочого середовища, розроблену відповідно до п</w:t>
      </w:r>
      <w:r>
        <w:t>ринципів, закладених у статті 4 Конвенції 1981 року про безпеку та здоров’я на роботі (№ 155);</w:t>
      </w:r>
    </w:p>
    <w:p w:rsidR="008B3CCB" w:rsidRDefault="00C33BAA">
      <w:pPr>
        <w:pStyle w:val="Bodytext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60" w:line="250" w:lineRule="exact"/>
        <w:ind w:left="380"/>
      </w:pPr>
      <w:r>
        <w:t xml:space="preserve">термін </w:t>
      </w:r>
      <w:r>
        <w:rPr>
          <w:rStyle w:val="Bodytext2BoldItalic"/>
        </w:rPr>
        <w:t>національна система безпеки і здоров’я на роботі</w:t>
      </w:r>
      <w:r>
        <w:t xml:space="preserve"> або </w:t>
      </w:r>
      <w:r>
        <w:rPr>
          <w:rStyle w:val="Bodytext2BoldItalic"/>
        </w:rPr>
        <w:t xml:space="preserve">національна </w:t>
      </w:r>
      <w:r>
        <w:rPr>
          <w:rStyle w:val="Bodytext2BoldItalic"/>
        </w:rPr>
        <w:lastRenderedPageBreak/>
        <w:t>система</w:t>
      </w:r>
      <w:r>
        <w:t xml:space="preserve"> означає інфраструктуру, що передбачає основні рамки для проведення національної п</w:t>
      </w:r>
      <w:r>
        <w:t>олітики й національних програм в галузі безпеки і здоров’я на роботі;</w:t>
      </w:r>
    </w:p>
    <w:p w:rsidR="008B3CCB" w:rsidRDefault="00C33BAA">
      <w:pPr>
        <w:pStyle w:val="Bodytext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60" w:line="250" w:lineRule="exact"/>
        <w:ind w:left="380"/>
      </w:pPr>
      <w:r>
        <w:t xml:space="preserve">термін </w:t>
      </w:r>
      <w:r>
        <w:rPr>
          <w:rStyle w:val="Bodytext2BoldItalic"/>
        </w:rPr>
        <w:t>національна програма з безпеки і здоров’я на роботі</w:t>
      </w:r>
      <w:r>
        <w:t xml:space="preserve"> або </w:t>
      </w:r>
      <w:r>
        <w:rPr>
          <w:rStyle w:val="Bodytext2BoldItalic"/>
        </w:rPr>
        <w:t>національна програма</w:t>
      </w:r>
      <w:r>
        <w:t xml:space="preserve"> означає будь-яку національну програму, що включає завдання, які треба буде розв'язати у встановлений т</w:t>
      </w:r>
      <w:r>
        <w:t>ермін, пріоритети й засоби дій, сформульовані з метою вдосконалювання безпеки і здоров’я на роботі, а також засоби оцінки досягнутих результатів;</w:t>
      </w:r>
    </w:p>
    <w:p w:rsidR="008B3CCB" w:rsidRDefault="00C33BAA">
      <w:pPr>
        <w:pStyle w:val="Bodytext20"/>
        <w:shd w:val="clear" w:color="auto" w:fill="auto"/>
        <w:spacing w:before="0" w:after="0" w:line="250" w:lineRule="exact"/>
        <w:ind w:left="380"/>
      </w:pPr>
      <w:r>
        <w:t xml:space="preserve">ф термін </w:t>
      </w:r>
      <w:r>
        <w:rPr>
          <w:rStyle w:val="Bodytext2BoldItalic"/>
        </w:rPr>
        <w:t>національна культура профілактики в галузі безпеки і здоров’я на роботі</w:t>
      </w:r>
      <w:r>
        <w:t xml:space="preserve"> означає культуру, у якій прав</w:t>
      </w:r>
      <w:r>
        <w:t>о на безпечне і здорове робоче середовище дотримується на всіх рівнях, де уряди, роботодавці й працівники беруть активну участь у забезпеченні безпечного та здорового робочого середовища за допомогою системи встановлених прав, відповідальності та обов'язкі</w:t>
      </w:r>
      <w:r>
        <w:t>в і де принципам профілактики надається найвищий пріоритет.</w:t>
      </w:r>
    </w:p>
    <w:p w:rsidR="008B3CCB" w:rsidRDefault="00C33BAA">
      <w:pPr>
        <w:pStyle w:val="Bodytext30"/>
        <w:numPr>
          <w:ilvl w:val="0"/>
          <w:numId w:val="1"/>
        </w:numPr>
        <w:shd w:val="clear" w:color="auto" w:fill="auto"/>
        <w:tabs>
          <w:tab w:val="left" w:pos="4922"/>
        </w:tabs>
        <w:spacing w:before="0"/>
        <w:ind w:left="4480" w:right="4100" w:firstLine="160"/>
      </w:pPr>
      <w:r>
        <w:rPr>
          <w:rStyle w:val="Bodytext3NotItalic"/>
          <w:b/>
          <w:bCs/>
        </w:rPr>
        <w:t xml:space="preserve">МЕТА </w:t>
      </w:r>
      <w:r>
        <w:t>Стаття 2</w:t>
      </w:r>
    </w:p>
    <w:p w:rsidR="008B3CCB" w:rsidRDefault="00C33BAA">
      <w:pPr>
        <w:pStyle w:val="Body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60" w:line="250" w:lineRule="exact"/>
        <w:ind w:left="380"/>
      </w:pPr>
      <w:r>
        <w:t xml:space="preserve">Кожна держава-член Організації, що ратифікує цю Конвенцію, сприяє постійному вдосконалюванню безпеки і здоров’я на роботі з метою попередження випадків травматизму на роботі, </w:t>
      </w:r>
      <w:r>
        <w:t>професійних захворювань і загибелі людей на роботі шляхом розроблення, на основі консультацій з найбільш представницькими організаціями роботодавців і працівників, національної політики, національної системи та національної програми.</w:t>
      </w:r>
    </w:p>
    <w:p w:rsidR="008B3CCB" w:rsidRDefault="00C33BAA">
      <w:pPr>
        <w:pStyle w:val="Body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60" w:line="250" w:lineRule="exact"/>
        <w:ind w:left="380"/>
      </w:pPr>
      <w:r>
        <w:t>Кожна держава-член Орг</w:t>
      </w:r>
      <w:r>
        <w:t>анізації вживає активних заходів з метою поступового створення безпечного й здорового робочого середовища за допомогою національної системи й національних програм у галузі безпеки і здоров’я на роботі, беручи до уваги принципи, закладені в актах Міжнародно</w:t>
      </w:r>
      <w:r>
        <w:t>ї організації праці (МОП), які мають відношення до основ, що сприяють безпеці і здоров’ю на роботі.</w:t>
      </w:r>
    </w:p>
    <w:p w:rsidR="008B3CCB" w:rsidRDefault="00C33BAA">
      <w:pPr>
        <w:pStyle w:val="Body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250" w:lineRule="exact"/>
        <w:ind w:left="380"/>
      </w:pPr>
      <w:r>
        <w:t>Кожна держава-член, на основі консультацій з найбільш представницькими організаціями роботодавців і працівників, періодично розглядає заходи, які можна було</w:t>
      </w:r>
      <w:r>
        <w:t xml:space="preserve"> б почати з метою ратифікації відповідних конвенцій МОП з питань безпеки і здоров’я на роботі.</w:t>
      </w:r>
    </w:p>
    <w:p w:rsidR="008B3CCB" w:rsidRDefault="00C33B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36"/>
        </w:tabs>
        <w:spacing w:line="370" w:lineRule="exact"/>
        <w:ind w:left="4480" w:right="3140"/>
      </w:pPr>
      <w:bookmarkStart w:id="3" w:name="bookmark2"/>
      <w:r>
        <w:t xml:space="preserve">НАЦІОНАЛЬНА ПОЛІТИКА </w:t>
      </w:r>
      <w:r>
        <w:rPr>
          <w:rStyle w:val="Heading2Italic"/>
          <w:b/>
          <w:bCs/>
        </w:rPr>
        <w:t>Стаття 3</w:t>
      </w:r>
      <w:bookmarkEnd w:id="3"/>
    </w:p>
    <w:p w:rsidR="008B3CCB" w:rsidRDefault="00C33BAA">
      <w:pPr>
        <w:pStyle w:val="Body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60" w:line="254" w:lineRule="exact"/>
        <w:ind w:left="380"/>
      </w:pPr>
      <w:r>
        <w:t>Кожна держава-член Організації сприяє безпечному та здоровому робочому середовищу за допомогою розробки національної політики.</w:t>
      </w:r>
    </w:p>
    <w:p w:rsidR="008B3CCB" w:rsidRDefault="00C33BAA">
      <w:pPr>
        <w:pStyle w:val="Body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64" w:line="254" w:lineRule="exact"/>
        <w:ind w:left="380"/>
      </w:pPr>
      <w:r>
        <w:t>Кожна держава-член Організації на всіх відповідних рівнях заохочує здійснення права працівників на безпечне та здорове робоче середовище і сприяє його здійсненню.</w:t>
      </w:r>
    </w:p>
    <w:p w:rsidR="008B3CCB" w:rsidRDefault="00C33BAA">
      <w:pPr>
        <w:pStyle w:val="Body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84" w:line="250" w:lineRule="exact"/>
        <w:ind w:left="380"/>
      </w:pPr>
      <w:r>
        <w:t>Під час розроблення своєї національної політики кожна держава-член Організації, з урахуванням</w:t>
      </w:r>
      <w:r>
        <w:t xml:space="preserve"> своїх національних умов і практики, а також на основі консультацій з найбільш представницькими організаціями роботодавців і працівників, сприяє основним принципам, таким як: оцінка професійних ризиків або небезпек; боротьба із професійними ризиками або не</w:t>
      </w:r>
      <w:r>
        <w:t>безпеками в місці їхнього виникнення; розвиток національної культури профілактики в галузі безпеки і здоров’я на роботі, що включає інформацію, консультації та навчання.</w:t>
      </w:r>
    </w:p>
    <w:p w:rsidR="008B3CCB" w:rsidRDefault="00C33B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67"/>
        </w:tabs>
        <w:spacing w:after="123" w:line="220" w:lineRule="exact"/>
        <w:ind w:left="3460" w:firstLine="0"/>
        <w:jc w:val="both"/>
      </w:pPr>
      <w:bookmarkStart w:id="4" w:name="bookmark3"/>
      <w:r>
        <w:t>НАЦІОНАЛЬНА СИСТЕМА</w:t>
      </w:r>
      <w:bookmarkEnd w:id="4"/>
    </w:p>
    <w:p w:rsidR="008B3CCB" w:rsidRDefault="00C33BAA">
      <w:pPr>
        <w:pStyle w:val="Bodytext30"/>
        <w:shd w:val="clear" w:color="auto" w:fill="auto"/>
        <w:spacing w:before="0" w:after="96" w:line="220" w:lineRule="exact"/>
        <w:ind w:left="4480"/>
      </w:pPr>
      <w:r>
        <w:t>Стаття 4</w:t>
      </w:r>
    </w:p>
    <w:p w:rsidR="008B3CCB" w:rsidRDefault="00C33BAA">
      <w:pPr>
        <w:pStyle w:val="Body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88" w:line="254" w:lineRule="exact"/>
        <w:ind w:left="380"/>
      </w:pPr>
      <w:r>
        <w:t>Кожна держава-член Організації створює, підтримує, поступ</w:t>
      </w:r>
      <w:r>
        <w:t>ово розвиває і періодично переглядає національну систему безпеки і здоров’я на роботі на основі консультацій з найбільш представницькими організаціями роботодавців і працівників.</w:t>
      </w:r>
    </w:p>
    <w:p w:rsidR="008B3CCB" w:rsidRDefault="00C33BAA">
      <w:pPr>
        <w:pStyle w:val="Body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91" w:line="220" w:lineRule="exact"/>
        <w:ind w:left="380"/>
      </w:pPr>
      <w:r>
        <w:t>Національна система безпеки і здоров’я на роботі включає, серед іншого:</w:t>
      </w:r>
    </w:p>
    <w:p w:rsidR="008B3CCB" w:rsidRDefault="00C33BAA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64" w:line="254" w:lineRule="exact"/>
        <w:ind w:left="380"/>
      </w:pPr>
      <w:r>
        <w:t>закон</w:t>
      </w:r>
      <w:r>
        <w:t>и та нормативні акти, колективні договори і угоди (у відповідних випадках) та будь-які інші відповідні акти з безпеки і здоров’я на роботі;</w:t>
      </w:r>
    </w:p>
    <w:p w:rsidR="008B3CCB" w:rsidRDefault="00C33BAA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56" w:line="250" w:lineRule="exact"/>
        <w:ind w:left="380"/>
      </w:pPr>
      <w:r>
        <w:t xml:space="preserve">орган або відомство (органи або відомства), відповідальні за питання безпеки і </w:t>
      </w:r>
      <w:r>
        <w:lastRenderedPageBreak/>
        <w:t xml:space="preserve">здоров’я на роботі, призначені </w:t>
      </w:r>
      <w:r>
        <w:t>відповідно до національного законодавства і практики;</w:t>
      </w:r>
    </w:p>
    <w:p w:rsidR="008B3CCB" w:rsidRDefault="00C33BAA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60" w:line="254" w:lineRule="exact"/>
        <w:ind w:left="380"/>
      </w:pPr>
      <w:r>
        <w:t>механізми для забезпечення дотримання національних законів і нормативних актів, включно з системами інспекції;</w:t>
      </w:r>
    </w:p>
    <w:p w:rsidR="008B3CCB" w:rsidRDefault="00C33BAA">
      <w:pPr>
        <w:pStyle w:val="Bodytext20"/>
        <w:shd w:val="clear" w:color="auto" w:fill="auto"/>
        <w:spacing w:before="0" w:after="88" w:line="254" w:lineRule="exact"/>
        <w:ind w:left="380"/>
      </w:pPr>
      <w:r>
        <w:t>ф заходи, спрямовані на заохочення співробітництва на рівні підприємства між його керівницт</w:t>
      </w:r>
      <w:r>
        <w:t>вом, працівниками таі їхніми представниками в якості основного елемента заходів профілактики на роботі.</w:t>
      </w:r>
    </w:p>
    <w:p w:rsidR="008B3CCB" w:rsidRDefault="00C33BAA">
      <w:pPr>
        <w:pStyle w:val="Body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96" w:line="220" w:lineRule="exact"/>
        <w:ind w:left="380"/>
      </w:pPr>
      <w:r>
        <w:t>Національна система безпеки і здоров’я на роботі у доречних випадках включає:</w:t>
      </w:r>
    </w:p>
    <w:p w:rsidR="008B3CCB" w:rsidRDefault="00C33BAA">
      <w:pPr>
        <w:pStyle w:val="Bodytext20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88" w:line="254" w:lineRule="exact"/>
        <w:ind w:left="380"/>
      </w:pPr>
      <w:r>
        <w:t xml:space="preserve">національний тристоронній консультативний орган або органи, що опікуються </w:t>
      </w:r>
      <w:r>
        <w:t>питаннями безпеки і здоров’я на роботі;</w:t>
      </w:r>
    </w:p>
    <w:p w:rsidR="008B3CCB" w:rsidRDefault="00C33BAA">
      <w:pPr>
        <w:pStyle w:val="Bodytext20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123" w:line="220" w:lineRule="exact"/>
        <w:ind w:left="380"/>
      </w:pPr>
      <w:r>
        <w:t>інформаційні та консультативні служби з питань безпеки і здоров’я на роботі;</w:t>
      </w:r>
    </w:p>
    <w:p w:rsidR="008B3CCB" w:rsidRDefault="00C33BAA">
      <w:pPr>
        <w:pStyle w:val="Bodytext20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96" w:line="220" w:lineRule="exact"/>
        <w:ind w:left="380"/>
      </w:pPr>
      <w:r>
        <w:t>професійну підготовку з питань безпеки і здоров’я на роботі;</w:t>
      </w:r>
    </w:p>
    <w:p w:rsidR="008B3CCB" w:rsidRDefault="00C33BAA">
      <w:pPr>
        <w:pStyle w:val="Bodytext20"/>
        <w:shd w:val="clear" w:color="auto" w:fill="auto"/>
        <w:spacing w:before="0" w:after="88" w:line="254" w:lineRule="exact"/>
        <w:ind w:left="380"/>
      </w:pPr>
      <w:r>
        <w:t xml:space="preserve">ф служби безпеки і здоров’я на роботі відповідно до національного </w:t>
      </w:r>
      <w:r>
        <w:t>законодавства й практики;</w:t>
      </w:r>
    </w:p>
    <w:p w:rsidR="008B3CCB" w:rsidRDefault="00C33BAA">
      <w:pPr>
        <w:pStyle w:val="Bodytext20"/>
        <w:shd w:val="clear" w:color="auto" w:fill="auto"/>
        <w:spacing w:before="0" w:after="96" w:line="220" w:lineRule="exact"/>
        <w:ind w:left="380"/>
      </w:pPr>
      <w:r>
        <w:t>е) наукові дослідження в галузі безпеки і здоров’я на роботі;</w:t>
      </w:r>
    </w:p>
    <w:p w:rsidR="008B3CCB" w:rsidRDefault="00C33BAA">
      <w:pPr>
        <w:pStyle w:val="Bodytext20"/>
        <w:shd w:val="clear" w:color="auto" w:fill="auto"/>
        <w:spacing w:before="0" w:after="64" w:line="254" w:lineRule="exact"/>
        <w:ind w:left="380"/>
      </w:pPr>
      <w:r>
        <w:t>ї) механізм збирання і аналізу даних про випадки травматизму на роботі та професійних захворювань, з урахуванням відповідних актів МОП;</w:t>
      </w:r>
    </w:p>
    <w:p w:rsidR="008B3CCB" w:rsidRDefault="00C33BAA">
      <w:pPr>
        <w:pStyle w:val="Bodytext20"/>
        <w:shd w:val="clear" w:color="auto" w:fill="auto"/>
        <w:spacing w:before="0" w:after="60" w:line="250" w:lineRule="exact"/>
        <w:ind w:left="380"/>
      </w:pPr>
      <w:r>
        <w:t>д) положення щодо співробітництв</w:t>
      </w:r>
      <w:r>
        <w:t>а з відповідними системами страхування або соціального забезпечення, які охоплюють випадки травматизму на роботі і професійних захворювань;</w:t>
      </w:r>
    </w:p>
    <w:p w:rsidR="008B3CCB" w:rsidRDefault="00C33BAA">
      <w:pPr>
        <w:pStyle w:val="Bodytext20"/>
        <w:shd w:val="clear" w:color="auto" w:fill="auto"/>
        <w:spacing w:before="0" w:after="84" w:line="250" w:lineRule="exact"/>
        <w:ind w:left="380"/>
      </w:pPr>
      <w:r>
        <w:t>ф допоміжні механізми, спрямовані на поступове поліпшення умов у галузі безпеки і здоров’я на роботі на мікропідприє</w:t>
      </w:r>
      <w:r>
        <w:t>мствах, на малих і середніх підприємствах та у неформальній економіці.</w:t>
      </w:r>
    </w:p>
    <w:p w:rsidR="008B3CCB" w:rsidRDefault="00C33B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67"/>
        </w:tabs>
        <w:spacing w:after="123" w:line="220" w:lineRule="exact"/>
        <w:ind w:left="3460" w:firstLine="0"/>
        <w:jc w:val="both"/>
      </w:pPr>
      <w:bookmarkStart w:id="5" w:name="bookmark4"/>
      <w:r>
        <w:t>НАЦІОНАЛЬНА ПРОГРАМА</w:t>
      </w:r>
      <w:bookmarkEnd w:id="5"/>
    </w:p>
    <w:p w:rsidR="008B3CCB" w:rsidRDefault="00C33BAA">
      <w:pPr>
        <w:pStyle w:val="Bodytext30"/>
        <w:shd w:val="clear" w:color="auto" w:fill="auto"/>
        <w:spacing w:before="0" w:after="96" w:line="220" w:lineRule="exact"/>
        <w:ind w:left="4480"/>
      </w:pPr>
      <w:r>
        <w:t>Стаття 5</w:t>
      </w:r>
    </w:p>
    <w:p w:rsidR="008B3CCB" w:rsidRDefault="00C33BAA">
      <w:pPr>
        <w:pStyle w:val="Body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88" w:line="254" w:lineRule="exact"/>
        <w:ind w:left="380"/>
      </w:pPr>
      <w:r>
        <w:t xml:space="preserve">Кожна держава-член Організації розробляє, проводить, стежить за виконанням, оцінює та періодично переглядає національну програму з безпеки і здоров’я на </w:t>
      </w:r>
      <w:r>
        <w:t>роботі на основі консультацій з найбільш представницькими організаціями роботодавців і працівників.</w:t>
      </w:r>
    </w:p>
    <w:p w:rsidR="008B3CCB" w:rsidRDefault="00C33BAA">
      <w:pPr>
        <w:pStyle w:val="Body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96" w:line="220" w:lineRule="exact"/>
        <w:ind w:left="380"/>
      </w:pPr>
      <w:r>
        <w:t>Національна програма:</w:t>
      </w:r>
    </w:p>
    <w:p w:rsidR="008B3CCB" w:rsidRDefault="00C33BAA">
      <w:pPr>
        <w:pStyle w:val="Bodytext20"/>
        <w:numPr>
          <w:ilvl w:val="0"/>
          <w:numId w:val="9"/>
        </w:numPr>
        <w:shd w:val="clear" w:color="auto" w:fill="auto"/>
        <w:tabs>
          <w:tab w:val="left" w:pos="1087"/>
        </w:tabs>
        <w:spacing w:before="0" w:after="64" w:line="254" w:lineRule="exact"/>
        <w:ind w:left="380"/>
      </w:pPr>
      <w:r>
        <w:t>сприяє розвитку національної культури профілактики в галузі безпеки і здоров’я на роботі;</w:t>
      </w:r>
    </w:p>
    <w:p w:rsidR="008B3CCB" w:rsidRDefault="00C33BAA">
      <w:pPr>
        <w:pStyle w:val="Bodytext20"/>
        <w:numPr>
          <w:ilvl w:val="0"/>
          <w:numId w:val="9"/>
        </w:numPr>
        <w:shd w:val="clear" w:color="auto" w:fill="auto"/>
        <w:tabs>
          <w:tab w:val="left" w:pos="1087"/>
        </w:tabs>
        <w:spacing w:before="0" w:after="0" w:line="250" w:lineRule="exact"/>
        <w:ind w:left="380"/>
      </w:pPr>
      <w:r>
        <w:t>робить внесок у захист працівників шляхом ус</w:t>
      </w:r>
      <w:r>
        <w:t>унення або зведення до мінімуму, наскільки це практично можливо, професійних ризиків і небезпек, відповідно до національного законодавства і практики, з метою попередження травматизму на роботі, професійних захворювань і загибелі людей на роботі, а також с</w:t>
      </w:r>
      <w:r>
        <w:t>прияння безпеці і здоров’ю на роботі;</w:t>
      </w:r>
    </w:p>
    <w:p w:rsidR="008B3CCB" w:rsidRDefault="00C33BAA">
      <w:pPr>
        <w:pStyle w:val="Bodytext20"/>
        <w:shd w:val="clear" w:color="auto" w:fill="auto"/>
        <w:tabs>
          <w:tab w:val="left" w:pos="1090"/>
        </w:tabs>
        <w:spacing w:before="0" w:after="88" w:line="254" w:lineRule="exact"/>
        <w:ind w:left="380"/>
      </w:pPr>
      <w:r>
        <w:t>с)</w:t>
      </w:r>
      <w:r>
        <w:tab/>
        <w:t>розробляється і переглядається на основі аналізу національної ситуації в сфері безпеки і здоров’я на роботі, включаючи аналіз національної системи безпеки і здоров’я на роботі;</w:t>
      </w:r>
    </w:p>
    <w:p w:rsidR="008B3CCB" w:rsidRDefault="00C33BAA">
      <w:pPr>
        <w:pStyle w:val="Bodytext20"/>
        <w:shd w:val="clear" w:color="auto" w:fill="auto"/>
        <w:spacing w:before="0" w:after="91" w:line="220" w:lineRule="exact"/>
        <w:ind w:left="380"/>
      </w:pPr>
      <w:r>
        <w:t>ф включає завдання, цілі й показники р</w:t>
      </w:r>
      <w:r>
        <w:t>езультативності;</w:t>
      </w:r>
    </w:p>
    <w:p w:rsidR="008B3CCB" w:rsidRDefault="00C33BAA">
      <w:pPr>
        <w:pStyle w:val="Bodytext20"/>
        <w:shd w:val="clear" w:color="auto" w:fill="auto"/>
        <w:spacing w:before="0" w:after="60" w:line="254" w:lineRule="exact"/>
        <w:ind w:left="380"/>
      </w:pPr>
      <w:r>
        <w:t>е) підкріплюється, наскільки це можливо, іншими додатковими національними програмами та планами, що сприяють поступовому створенню безпечного і здорового робочого середовища.</w:t>
      </w:r>
    </w:p>
    <w:p w:rsidR="008B3CCB" w:rsidRDefault="00C33BAA">
      <w:pPr>
        <w:pStyle w:val="Bodytext20"/>
        <w:numPr>
          <w:ilvl w:val="0"/>
          <w:numId w:val="8"/>
        </w:numPr>
        <w:shd w:val="clear" w:color="auto" w:fill="auto"/>
        <w:tabs>
          <w:tab w:val="left" w:pos="694"/>
        </w:tabs>
        <w:spacing w:before="0" w:after="88" w:line="254" w:lineRule="exact"/>
        <w:ind w:left="380"/>
      </w:pPr>
      <w:r>
        <w:t xml:space="preserve">Національна програма широко оприлюднюється та, у міру </w:t>
      </w:r>
      <w:r>
        <w:t>можливості, затверджується і вводиться в дію найвищими органами державної влади.</w:t>
      </w:r>
    </w:p>
    <w:p w:rsidR="008B3CCB" w:rsidRDefault="00C33B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21"/>
        </w:tabs>
        <w:spacing w:after="123" w:line="220" w:lineRule="exact"/>
        <w:ind w:left="3520" w:firstLine="0"/>
        <w:jc w:val="both"/>
      </w:pPr>
      <w:bookmarkStart w:id="6" w:name="bookmark5"/>
      <w:r>
        <w:t>ЗАКЛЮЧНІ ПОЛОЖЕННЯ</w:t>
      </w:r>
      <w:bookmarkEnd w:id="6"/>
    </w:p>
    <w:p w:rsidR="008B3CCB" w:rsidRDefault="00C33BAA">
      <w:pPr>
        <w:pStyle w:val="Bodytext30"/>
        <w:shd w:val="clear" w:color="auto" w:fill="auto"/>
        <w:spacing w:before="0" w:after="96" w:line="220" w:lineRule="exact"/>
        <w:ind w:left="4460"/>
      </w:pPr>
      <w:r>
        <w:t>Стаття 6</w:t>
      </w:r>
    </w:p>
    <w:p w:rsidR="008B3CCB" w:rsidRDefault="00C33BAA">
      <w:pPr>
        <w:pStyle w:val="Bodytext20"/>
        <w:shd w:val="clear" w:color="auto" w:fill="auto"/>
        <w:spacing w:before="0" w:after="88" w:line="254" w:lineRule="exact"/>
        <w:ind w:left="380"/>
      </w:pPr>
      <w:r>
        <w:t>Ця Конвенція не переглядає жодну іншу міжнародну трудову конвенцію або рекомендацію з питань праці.</w:t>
      </w:r>
    </w:p>
    <w:p w:rsidR="008B3CCB" w:rsidRDefault="00C33BAA">
      <w:pPr>
        <w:pStyle w:val="Bodytext30"/>
        <w:shd w:val="clear" w:color="auto" w:fill="auto"/>
        <w:spacing w:before="0" w:after="96" w:line="220" w:lineRule="exact"/>
        <w:ind w:left="4460"/>
      </w:pPr>
      <w:r>
        <w:t>Стаття 7</w:t>
      </w:r>
    </w:p>
    <w:p w:rsidR="008B3CCB" w:rsidRDefault="00C33BAA">
      <w:pPr>
        <w:pStyle w:val="Bodytext20"/>
        <w:shd w:val="clear" w:color="auto" w:fill="auto"/>
        <w:spacing w:before="0" w:after="88" w:line="254" w:lineRule="exact"/>
        <w:ind w:left="380"/>
      </w:pPr>
      <w:r>
        <w:t>Офіційні документи про ратифікацію ціє</w:t>
      </w:r>
      <w:r>
        <w:t xml:space="preserve">ї Конвенції надсилаються Генеральному </w:t>
      </w:r>
      <w:r>
        <w:lastRenderedPageBreak/>
        <w:t>директорові Міжнародного бюро праці для реєстрації.</w:t>
      </w:r>
    </w:p>
    <w:p w:rsidR="008B3CCB" w:rsidRDefault="00C33BAA">
      <w:pPr>
        <w:pStyle w:val="Bodytext30"/>
        <w:shd w:val="clear" w:color="auto" w:fill="auto"/>
        <w:spacing w:before="0" w:after="96" w:line="220" w:lineRule="exact"/>
        <w:ind w:left="4460"/>
      </w:pPr>
      <w:r>
        <w:t>Стаття 8</w:t>
      </w:r>
    </w:p>
    <w:p w:rsidR="008B3CCB" w:rsidRDefault="00C33BAA">
      <w:pPr>
        <w:pStyle w:val="Bodytext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64" w:line="254" w:lineRule="exact"/>
        <w:ind w:left="380"/>
      </w:pPr>
      <w:r>
        <w:t>Ця Конвенція має обов'язкову силу тільки для тих держав-членів Міжнародної організації праці, чиї документи про ратифікацію зареєстровані Генеральним директо</w:t>
      </w:r>
      <w:r>
        <w:t>ром Міжнародного бюро праці.</w:t>
      </w:r>
    </w:p>
    <w:p w:rsidR="008B3CCB" w:rsidRDefault="00C33BAA">
      <w:pPr>
        <w:pStyle w:val="Bodytext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56" w:line="250" w:lineRule="exact"/>
        <w:ind w:left="380"/>
      </w:pPr>
      <w:r>
        <w:t xml:space="preserve">Вона набуває чинності через 12 місяців після дати реєстрації Генеральним директором документів про ратифікацію від двох держав-членів </w:t>
      </w:r>
      <w:r>
        <w:rPr>
          <w:rStyle w:val="Bodytext2SmallCaps"/>
        </w:rPr>
        <w:t>мОп.</w:t>
      </w:r>
    </w:p>
    <w:p w:rsidR="008B3CCB" w:rsidRDefault="00C33BAA">
      <w:pPr>
        <w:pStyle w:val="Bodytext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88" w:line="254" w:lineRule="exact"/>
        <w:ind w:left="380"/>
      </w:pPr>
      <w:r>
        <w:t>Надалі ця Конвенція набуває чинності для кожної держави-члена МОП через 12 місяців після</w:t>
      </w:r>
      <w:r>
        <w:t xml:space="preserve"> дати реєстрації її документа про ратифікацію.</w:t>
      </w:r>
    </w:p>
    <w:p w:rsidR="008B3CCB" w:rsidRDefault="00C33BAA">
      <w:pPr>
        <w:pStyle w:val="Bodytext30"/>
        <w:shd w:val="clear" w:color="auto" w:fill="auto"/>
        <w:spacing w:before="0" w:after="99" w:line="220" w:lineRule="exact"/>
        <w:ind w:left="4460"/>
      </w:pPr>
      <w:r>
        <w:t>Стаття 9</w:t>
      </w:r>
    </w:p>
    <w:p w:rsidR="008B3CCB" w:rsidRDefault="00C33BAA">
      <w:pPr>
        <w:pStyle w:val="Bodytext20"/>
        <w:numPr>
          <w:ilvl w:val="0"/>
          <w:numId w:val="11"/>
        </w:numPr>
        <w:shd w:val="clear" w:color="auto" w:fill="auto"/>
        <w:tabs>
          <w:tab w:val="left" w:pos="694"/>
        </w:tabs>
        <w:spacing w:before="0" w:after="60" w:line="250" w:lineRule="exact"/>
        <w:ind w:left="380"/>
      </w:pPr>
      <w:r>
        <w:t>Держава-член МОП, яка ратифікувала цю Конвенцію, може після закінчення десятирічного періоду з моменту, коли вона початково набула чинності, денонсувати її актом про денонсацію, надісланим Генеральном</w:t>
      </w:r>
      <w:r>
        <w:t>у директорові Міжнародного бюро праці для реєстрації. Денонсація набуває чинності через рік після дати її реєстрації.</w:t>
      </w:r>
    </w:p>
    <w:p w:rsidR="008B3CCB" w:rsidRDefault="00C33BAA">
      <w:pPr>
        <w:pStyle w:val="Bodytext20"/>
        <w:numPr>
          <w:ilvl w:val="0"/>
          <w:numId w:val="11"/>
        </w:numPr>
        <w:shd w:val="clear" w:color="auto" w:fill="auto"/>
        <w:tabs>
          <w:tab w:val="left" w:pos="694"/>
        </w:tabs>
        <w:spacing w:before="0" w:after="84" w:line="250" w:lineRule="exact"/>
        <w:ind w:left="380"/>
      </w:pPr>
      <w:r>
        <w:t>Для кожної держави-члена МОП, яка ратифікувала цю Конвенцію і яка протягом року після закінчення згаданого в попередньому параграфі десяти</w:t>
      </w:r>
      <w:r>
        <w:t>річного періоду не скористається передбаченим у цій статті правом на денонсацію, Конвенція буде залишатися чинною протягом наступного десятирічного періоду, і надалі ця держава зможе денонсувати цю Конвенцію після закінчення кожного десятирічного періоду в</w:t>
      </w:r>
      <w:r>
        <w:t xml:space="preserve"> порядку, встановленому в цій статті.</w:t>
      </w:r>
    </w:p>
    <w:p w:rsidR="008B3CCB" w:rsidRDefault="00C33BAA">
      <w:pPr>
        <w:pStyle w:val="Bodytext30"/>
        <w:shd w:val="clear" w:color="auto" w:fill="auto"/>
        <w:spacing w:before="0" w:after="99" w:line="220" w:lineRule="exact"/>
        <w:ind w:left="4460"/>
      </w:pPr>
      <w:r>
        <w:t>Стаття 10</w:t>
      </w:r>
    </w:p>
    <w:p w:rsidR="008B3CCB" w:rsidRDefault="00C33BAA">
      <w:pPr>
        <w:pStyle w:val="Bodytext20"/>
        <w:numPr>
          <w:ilvl w:val="0"/>
          <w:numId w:val="12"/>
        </w:numPr>
        <w:shd w:val="clear" w:color="auto" w:fill="auto"/>
        <w:tabs>
          <w:tab w:val="left" w:pos="694"/>
        </w:tabs>
        <w:spacing w:before="0" w:after="60" w:line="250" w:lineRule="exact"/>
        <w:ind w:left="380"/>
      </w:pPr>
      <w:r>
        <w:t>Генеральний директор Міжнародного бюро праці сповіщає всі держави-члени МОП про реєстрацію всіх документів про ратифікацію і заяв про денонсацію, надісланих йому державами-членами Організації.</w:t>
      </w:r>
    </w:p>
    <w:p w:rsidR="008B3CCB" w:rsidRDefault="00C33BAA">
      <w:pPr>
        <w:pStyle w:val="Bodytext20"/>
        <w:numPr>
          <w:ilvl w:val="0"/>
          <w:numId w:val="12"/>
        </w:numPr>
        <w:shd w:val="clear" w:color="auto" w:fill="auto"/>
        <w:tabs>
          <w:tab w:val="left" w:pos="694"/>
        </w:tabs>
        <w:spacing w:before="0" w:after="84" w:line="250" w:lineRule="exact"/>
        <w:ind w:left="380"/>
      </w:pPr>
      <w:r>
        <w:t xml:space="preserve">Сповіщаючи </w:t>
      </w:r>
      <w:r>
        <w:t>держави-члени Організації про реєстрацію отриманого ним другого документа про ратифікацію, Генеральний директор звертає їхню увагу на дату набрання чинності цією Конвенцією.</w:t>
      </w:r>
    </w:p>
    <w:p w:rsidR="008B3CCB" w:rsidRDefault="00C33BAA">
      <w:pPr>
        <w:pStyle w:val="Bodytext30"/>
        <w:shd w:val="clear" w:color="auto" w:fill="auto"/>
        <w:spacing w:before="0" w:after="99" w:line="220" w:lineRule="exact"/>
        <w:ind w:left="4460"/>
      </w:pPr>
      <w:r>
        <w:t>Стаття 11</w:t>
      </w:r>
    </w:p>
    <w:p w:rsidR="008B3CCB" w:rsidRDefault="00C33BAA">
      <w:pPr>
        <w:pStyle w:val="Bodytext20"/>
        <w:shd w:val="clear" w:color="auto" w:fill="auto"/>
        <w:spacing w:before="0" w:after="0" w:line="250" w:lineRule="exact"/>
        <w:ind w:left="380"/>
      </w:pPr>
      <w:r>
        <w:t xml:space="preserve">Генеральний директор Міжнародного бюро праці направляє Генеральному </w:t>
      </w:r>
      <w:r>
        <w:t>секретареві Організації Об'єднаних Націй для реєстрації у відповідності зі статтею 102 Статуту Організації Об'єднаних Націй повні дані щодо всіх документів про ратифікацію та актів про денонсацію, зареєстрованих ним відповідно до положень попередніх статей</w:t>
      </w:r>
      <w:r>
        <w:t>.</w:t>
      </w:r>
    </w:p>
    <w:p w:rsidR="008B3CCB" w:rsidRDefault="00C33BAA">
      <w:pPr>
        <w:pStyle w:val="Bodytext30"/>
        <w:shd w:val="clear" w:color="auto" w:fill="auto"/>
        <w:spacing w:before="0" w:after="99" w:line="220" w:lineRule="exact"/>
        <w:ind w:left="4420"/>
      </w:pPr>
      <w:r>
        <w:t>Стаття 12</w:t>
      </w:r>
    </w:p>
    <w:p w:rsidR="008B3CCB" w:rsidRDefault="00C33BAA">
      <w:pPr>
        <w:pStyle w:val="Bodytext20"/>
        <w:shd w:val="clear" w:color="auto" w:fill="auto"/>
        <w:spacing w:before="0" w:after="84" w:line="250" w:lineRule="exact"/>
        <w:ind w:left="380"/>
      </w:pPr>
      <w:r>
        <w:t>У випадках, коли Адміністративна рада Міжнародного бюро праці вважає це необхідним, вона подає Генеральній конференції доповідь про застосування цієї Конвенції та розглядає доцільність включення до порядку денного Конференції питання про її пер</w:t>
      </w:r>
      <w:r>
        <w:t>егляд.</w:t>
      </w:r>
    </w:p>
    <w:p w:rsidR="008B3CCB" w:rsidRDefault="00C33BAA">
      <w:pPr>
        <w:pStyle w:val="Bodytext30"/>
        <w:shd w:val="clear" w:color="auto" w:fill="auto"/>
        <w:spacing w:before="0" w:after="99" w:line="220" w:lineRule="exact"/>
        <w:ind w:left="4420"/>
      </w:pPr>
      <w:r>
        <w:t>Стаття 13</w:t>
      </w:r>
    </w:p>
    <w:p w:rsidR="008B3CCB" w:rsidRDefault="00C33BAA">
      <w:pPr>
        <w:pStyle w:val="Bodytext20"/>
        <w:numPr>
          <w:ilvl w:val="0"/>
          <w:numId w:val="13"/>
        </w:numPr>
        <w:shd w:val="clear" w:color="auto" w:fill="auto"/>
        <w:tabs>
          <w:tab w:val="left" w:pos="681"/>
        </w:tabs>
        <w:spacing w:before="0" w:after="56" w:line="250" w:lineRule="exact"/>
        <w:ind w:left="380"/>
      </w:pPr>
      <w:r>
        <w:t>Якщо Конференція ухвалить нову конвенцію, що повністю або частково переглядає цю Конвенцію, і якщо нова конвенція не передбачає іншого, то:</w:t>
      </w:r>
    </w:p>
    <w:p w:rsidR="008B3CCB" w:rsidRDefault="00C33BAA">
      <w:pPr>
        <w:pStyle w:val="Bodytext20"/>
        <w:numPr>
          <w:ilvl w:val="0"/>
          <w:numId w:val="14"/>
        </w:numPr>
        <w:shd w:val="clear" w:color="auto" w:fill="auto"/>
        <w:tabs>
          <w:tab w:val="left" w:pos="710"/>
        </w:tabs>
        <w:spacing w:before="0" w:after="60" w:line="254" w:lineRule="exact"/>
        <w:ind w:left="380"/>
      </w:pPr>
      <w:r>
        <w:t>ратифікація будь-яким членом МОП нової Конвенції, що переглядає цю Конвенцію, спричиняє автоматично</w:t>
      </w:r>
      <w:r>
        <w:t>, незалежно від положень статті 9, негайну денонсацію цієї Конвенції за умови, що нова конвенція, що переглядає цю Конвенцію, набула чинності;</w:t>
      </w:r>
    </w:p>
    <w:p w:rsidR="008B3CCB" w:rsidRDefault="00C33BAA">
      <w:pPr>
        <w:pStyle w:val="Bodytext20"/>
        <w:numPr>
          <w:ilvl w:val="0"/>
          <w:numId w:val="14"/>
        </w:numPr>
        <w:shd w:val="clear" w:color="auto" w:fill="auto"/>
        <w:tabs>
          <w:tab w:val="left" w:pos="710"/>
        </w:tabs>
        <w:spacing w:before="0" w:after="64" w:line="254" w:lineRule="exact"/>
        <w:ind w:left="380"/>
      </w:pPr>
      <w:r>
        <w:t xml:space="preserve">від дня набрання чинності нової конвенції, що переглядає цю Конвенцію, ця Конвенція припиняє бути відкритою для </w:t>
      </w:r>
      <w:r>
        <w:t>ратифікації державами-членами МОП.</w:t>
      </w:r>
    </w:p>
    <w:p w:rsidR="008B3CCB" w:rsidRDefault="00C33BAA">
      <w:pPr>
        <w:pStyle w:val="Bodytext20"/>
        <w:numPr>
          <w:ilvl w:val="0"/>
          <w:numId w:val="13"/>
        </w:numPr>
        <w:shd w:val="clear" w:color="auto" w:fill="auto"/>
        <w:tabs>
          <w:tab w:val="left" w:pos="700"/>
        </w:tabs>
        <w:spacing w:before="0" w:after="84" w:line="250" w:lineRule="exact"/>
        <w:ind w:left="380"/>
      </w:pPr>
      <w:r>
        <w:t>Ця Конвенція залишається в усякому разі чинною за формою та змістом для тих держав-членів МОП, які її ратифікували, але не ратифікували конвенцію, що переглядає цю Конвенцію.</w:t>
      </w:r>
    </w:p>
    <w:p w:rsidR="008B3CCB" w:rsidRDefault="00C33BAA">
      <w:pPr>
        <w:pStyle w:val="Bodytext30"/>
        <w:shd w:val="clear" w:color="auto" w:fill="auto"/>
        <w:spacing w:before="0" w:after="123" w:line="220" w:lineRule="exact"/>
        <w:ind w:left="4420"/>
      </w:pPr>
      <w:r>
        <w:t>Стаття 14</w:t>
      </w:r>
    </w:p>
    <w:p w:rsidR="008B3CCB" w:rsidRDefault="00C33BAA">
      <w:pPr>
        <w:pStyle w:val="Bodytext20"/>
        <w:shd w:val="clear" w:color="auto" w:fill="auto"/>
        <w:spacing w:before="0" w:after="0" w:line="220" w:lineRule="exact"/>
        <w:ind w:left="380"/>
      </w:pPr>
      <w:r>
        <w:t>Англійський і французький тексти ціє</w:t>
      </w:r>
      <w:r>
        <w:t>ї Конвенції мають однакову силу.</w:t>
      </w:r>
    </w:p>
    <w:sectPr w:rsidR="008B3CCB">
      <w:footerReference w:type="default" r:id="rId8"/>
      <w:footnotePr>
        <w:numFmt w:val="upperRoman"/>
        <w:numRestart w:val="eachPage"/>
      </w:footnotePr>
      <w:pgSz w:w="11900" w:h="16840"/>
      <w:pgMar w:top="1127" w:right="814" w:bottom="1278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AA" w:rsidRDefault="00C33BAA">
      <w:r>
        <w:separator/>
      </w:r>
    </w:p>
  </w:endnote>
  <w:endnote w:type="continuationSeparator" w:id="0">
    <w:p w:rsidR="00C33BAA" w:rsidRDefault="00C3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CB" w:rsidRDefault="00FE2427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4034155</wp:posOffset>
              </wp:positionH>
              <wp:positionV relativeFrom="page">
                <wp:posOffset>9939020</wp:posOffset>
              </wp:positionV>
              <wp:extent cx="74295" cy="153035"/>
              <wp:effectExtent l="0" t="4445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CCB" w:rsidRDefault="00C33BA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2427" w:rsidRPr="00FE2427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65pt;margin-top:782.6pt;width:5.8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h6pwIAAKU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" filled="f" stroked="f">
              <v:textbox style="mso-fit-shape-to-text:t" inset="0,0,0,0">
                <w:txbxContent>
                  <w:p w:rsidR="008B3CCB" w:rsidRDefault="00C33BA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2427" w:rsidRPr="00FE2427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AA" w:rsidRDefault="00C33BAA">
      <w:r>
        <w:separator/>
      </w:r>
    </w:p>
  </w:footnote>
  <w:footnote w:type="continuationSeparator" w:id="0">
    <w:p w:rsidR="00C33BAA" w:rsidRDefault="00C33BAA">
      <w:r>
        <w:continuationSeparator/>
      </w:r>
    </w:p>
  </w:footnote>
  <w:footnote w:id="1">
    <w:p w:rsidR="008B3CCB" w:rsidRDefault="00C33BAA">
      <w:pPr>
        <w:pStyle w:val="Footnote0"/>
        <w:shd w:val="clear" w:color="auto" w:fill="auto"/>
        <w:ind w:right="220"/>
      </w:pPr>
      <w:r>
        <w:rPr>
          <w:vertAlign w:val="superscript"/>
        </w:rPr>
        <w:footnoteRef/>
      </w:r>
      <w:r>
        <w:t xml:space="preserve"> Неофіційний переклад українською мовою здійснений за підтримки Проєкту ЄС-МОП </w:t>
      </w:r>
      <w:hyperlink r:id="rId1" w:history="1">
        <w:r>
          <w:rPr>
            <w:rStyle w:val="a3"/>
          </w:rPr>
          <w:t>«</w:t>
        </w:r>
        <w:r>
          <w:rPr>
            <w:rStyle w:val="a3"/>
          </w:rPr>
          <w:t>На шляху до</w:t>
        </w:r>
      </w:hyperlink>
      <w:r>
        <w:rPr>
          <w:rStyle w:val="Footnote1"/>
        </w:rPr>
        <w:t xml:space="preserve"> </w:t>
      </w:r>
      <w:hyperlink r:id="rId2" w:history="1">
        <w:r>
          <w:rPr>
            <w:rStyle w:val="a3"/>
          </w:rPr>
          <w:t>безпечної, здорової та задекларованої праці в Україні</w:t>
        </w:r>
        <w:r>
          <w:rPr>
            <w:rStyle w:val="a3"/>
          </w:rPr>
          <w:t>»</w:t>
        </w:r>
      </w:hyperlink>
      <w:r>
        <w:t>.</w:t>
      </w:r>
    </w:p>
    <w:p w:rsidR="008B3CCB" w:rsidRDefault="00C33BAA">
      <w:pPr>
        <w:pStyle w:val="Footnote0"/>
        <w:shd w:val="clear" w:color="auto" w:fill="auto"/>
      </w:pPr>
      <w:r>
        <w:t>Текст англійською мовою див.</w:t>
      </w:r>
    </w:p>
    <w:p w:rsidR="008B3CCB" w:rsidRDefault="00C33BAA">
      <w:pPr>
        <w:pStyle w:val="Footnote0"/>
        <w:shd w:val="clear" w:color="auto" w:fill="auto"/>
      </w:pPr>
      <w:hyperlink r:id="rId3" w:history="1">
        <w:r>
          <w:rPr>
            <w:rStyle w:val="a3"/>
          </w:rPr>
          <w:t>ЬЦр5://№№№.і1о.оге/ауп/погт1ех/еп/Г?р=ШКМЬЕХРЦВ:12100:0::Ш::Р12100 ІШ СОРЕ:С187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30D8"/>
    <w:multiLevelType w:val="multilevel"/>
    <w:tmpl w:val="042666A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23188"/>
    <w:multiLevelType w:val="multilevel"/>
    <w:tmpl w:val="D4CC18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0637A"/>
    <w:multiLevelType w:val="multilevel"/>
    <w:tmpl w:val="2B1E89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21010"/>
    <w:multiLevelType w:val="multilevel"/>
    <w:tmpl w:val="D17AF2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F7AC3"/>
    <w:multiLevelType w:val="multilevel"/>
    <w:tmpl w:val="DBA26E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B4B51"/>
    <w:multiLevelType w:val="multilevel"/>
    <w:tmpl w:val="4746C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24DB0"/>
    <w:multiLevelType w:val="multilevel"/>
    <w:tmpl w:val="43A80E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83119"/>
    <w:multiLevelType w:val="multilevel"/>
    <w:tmpl w:val="8474C7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A6378"/>
    <w:multiLevelType w:val="multilevel"/>
    <w:tmpl w:val="A1CCA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542BA"/>
    <w:multiLevelType w:val="multilevel"/>
    <w:tmpl w:val="310C23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291A6B"/>
    <w:multiLevelType w:val="multilevel"/>
    <w:tmpl w:val="43B608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84701"/>
    <w:multiLevelType w:val="multilevel"/>
    <w:tmpl w:val="5636BE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818C6"/>
    <w:multiLevelType w:val="multilevel"/>
    <w:tmpl w:val="4AD2E3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1E07C6"/>
    <w:multiLevelType w:val="multilevel"/>
    <w:tmpl w:val="CCB01C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CB"/>
    <w:rsid w:val="008B3CCB"/>
    <w:rsid w:val="00C33BAA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">
    <w:name w:val="Footnote"/>
    <w:basedOn w:val="Footnot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Italic">
    <w:name w:val="Heading #2 + Italic"/>
    <w:basedOn w:val="Heading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28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74" w:lineRule="exact"/>
      <w:ind w:hanging="10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370" w:lineRule="exact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">
    <w:name w:val="Footnote"/>
    <w:basedOn w:val="Footnot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Italic">
    <w:name w:val="Heading #2 + Italic"/>
    <w:basedOn w:val="Heading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28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74" w:lineRule="exact"/>
      <w:ind w:hanging="10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370" w:lineRule="exact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lo.org/dyn/normlex/en/f?p=NORMLEXPUB:12100:0::NO::P12100_ILO_CODE:C187" TargetMode="External"/><Relationship Id="rId2" Type="http://schemas.openxmlformats.org/officeDocument/2006/relationships/hyperlink" Target="http://www.ilo.org/shd4Ukraine" TargetMode="External"/><Relationship Id="rId1" Type="http://schemas.openxmlformats.org/officeDocument/2006/relationships/hyperlink" Target="http://www.ilo.org/shd4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Конвенція 187</vt:lpstr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Конвенція 187</dc:title>
  <dc:creator>Ivan</dc:creator>
  <cp:lastModifiedBy>Ivan</cp:lastModifiedBy>
  <cp:revision>1</cp:revision>
  <dcterms:created xsi:type="dcterms:W3CDTF">2021-04-27T05:25:00Z</dcterms:created>
  <dcterms:modified xsi:type="dcterms:W3CDTF">2021-04-27T05:26:00Z</dcterms:modified>
</cp:coreProperties>
</file>